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039" w:rsidRPr="00BE797D" w:rsidRDefault="009D3039" w:rsidP="009D3039">
      <w:pPr>
        <w:spacing w:line="312" w:lineRule="auto"/>
        <w:jc w:val="center"/>
        <w:rPr>
          <w:rFonts w:ascii="Calibri" w:hAnsi="Calibri" w:cs="Times New Roman"/>
          <w:b/>
          <w:sz w:val="24"/>
          <w:lang w:val="pl-PL"/>
        </w:rPr>
      </w:pPr>
      <w:r w:rsidRPr="00BE797D">
        <w:rPr>
          <w:rFonts w:ascii="Calibri" w:hAnsi="Calibri" w:cs="Times New Roman"/>
          <w:b/>
          <w:sz w:val="24"/>
          <w:lang w:val="pl-PL"/>
        </w:rPr>
        <w:t xml:space="preserve">Procedura „Niebieskie Karty” </w:t>
      </w:r>
    </w:p>
    <w:p w:rsidR="009D3039" w:rsidRPr="00BE797D" w:rsidRDefault="009D3039" w:rsidP="009D3039">
      <w:pPr>
        <w:spacing w:line="312" w:lineRule="auto"/>
        <w:jc w:val="center"/>
        <w:rPr>
          <w:rFonts w:ascii="Calibri" w:hAnsi="Calibri" w:cs="Times New Roman"/>
          <w:b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b/>
          <w:sz w:val="24"/>
          <w:lang w:val="pl-PL"/>
        </w:rPr>
        <w:t>w</w:t>
      </w:r>
      <w:proofErr w:type="gramEnd"/>
      <w:r w:rsidRPr="00BE797D">
        <w:rPr>
          <w:rFonts w:ascii="Calibri" w:hAnsi="Calibri" w:cs="Times New Roman"/>
          <w:b/>
          <w:sz w:val="24"/>
          <w:lang w:val="pl-PL"/>
        </w:rPr>
        <w:t xml:space="preserve"> Miejskim Przedszkolu z Oddziałami Integracyjnymi nr 31 w Płocku </w:t>
      </w:r>
    </w:p>
    <w:p w:rsidR="009D3039" w:rsidRPr="00BE797D" w:rsidRDefault="009D3039" w:rsidP="009D3039">
      <w:pPr>
        <w:spacing w:after="360" w:line="312" w:lineRule="auto"/>
        <w:rPr>
          <w:rFonts w:ascii="Calibri" w:hAnsi="Calibri" w:cs="Times New Roman"/>
          <w:i/>
          <w:sz w:val="20"/>
          <w:szCs w:val="20"/>
          <w:lang w:val="pl-PL"/>
        </w:rPr>
      </w:pPr>
    </w:p>
    <w:p w:rsidR="009D3039" w:rsidRPr="00BE797D" w:rsidRDefault="009D3039" w:rsidP="009D3039">
      <w:pPr>
        <w:spacing w:after="120" w:line="312" w:lineRule="auto"/>
        <w:jc w:val="both"/>
        <w:rPr>
          <w:rFonts w:ascii="Calibri" w:hAnsi="Calibri" w:cs="Times New Roman"/>
          <w:b/>
          <w:sz w:val="24"/>
          <w:lang w:val="pl-PL"/>
        </w:rPr>
      </w:pPr>
      <w:r w:rsidRPr="00BE797D">
        <w:rPr>
          <w:rFonts w:ascii="Calibri" w:hAnsi="Calibri" w:cs="Times New Roman"/>
          <w:b/>
          <w:sz w:val="24"/>
          <w:lang w:val="pl-PL"/>
        </w:rPr>
        <w:t>Podstawa prawna:</w:t>
      </w:r>
    </w:p>
    <w:p w:rsidR="009D3039" w:rsidRPr="00BE797D" w:rsidRDefault="009D3039" w:rsidP="009D3039">
      <w:pPr>
        <w:numPr>
          <w:ilvl w:val="0"/>
          <w:numId w:val="1"/>
        </w:numPr>
        <w:spacing w:line="312" w:lineRule="auto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i/>
          <w:sz w:val="24"/>
          <w:lang w:val="pl-PL"/>
        </w:rPr>
        <w:t>Ustawa z dnia 6 czerwca 1997 r. Kodeks karny</w:t>
      </w:r>
      <w:r w:rsidRPr="00BE797D">
        <w:rPr>
          <w:rFonts w:ascii="Calibri" w:hAnsi="Calibri" w:cs="Times New Roman"/>
          <w:sz w:val="24"/>
          <w:lang w:val="pl-PL"/>
        </w:rPr>
        <w:t xml:space="preserve"> (</w:t>
      </w:r>
      <w:proofErr w:type="spellStart"/>
      <w:r w:rsidRPr="00BE797D">
        <w:rPr>
          <w:rFonts w:ascii="Calibri" w:hAnsi="Calibri" w:cs="Times New Roman"/>
          <w:sz w:val="24"/>
          <w:lang w:val="pl-PL"/>
        </w:rPr>
        <w:t>t.j</w:t>
      </w:r>
      <w:proofErr w:type="spellEnd"/>
      <w:r w:rsidRPr="00BE797D">
        <w:rPr>
          <w:rFonts w:ascii="Calibri" w:hAnsi="Calibri" w:cs="Times New Roman"/>
          <w:sz w:val="24"/>
          <w:lang w:val="pl-PL"/>
        </w:rPr>
        <w:t xml:space="preserve">. </w:t>
      </w:r>
      <w:proofErr w:type="spellStart"/>
      <w:r w:rsidRPr="00BE797D">
        <w:rPr>
          <w:rFonts w:ascii="Calibri" w:hAnsi="Calibri" w:cs="Times New Roman"/>
          <w:sz w:val="24"/>
          <w:lang w:val="pl-PL"/>
        </w:rPr>
        <w:t>Dz.U</w:t>
      </w:r>
      <w:proofErr w:type="spellEnd"/>
      <w:r w:rsidRPr="00BE797D">
        <w:rPr>
          <w:rFonts w:ascii="Calibri" w:hAnsi="Calibri" w:cs="Times New Roman"/>
          <w:sz w:val="24"/>
          <w:lang w:val="pl-PL"/>
        </w:rPr>
        <w:t xml:space="preserve">. </w:t>
      </w:r>
      <w:proofErr w:type="gramStart"/>
      <w:r w:rsidRPr="00BE797D">
        <w:rPr>
          <w:rFonts w:ascii="Calibri" w:hAnsi="Calibri" w:cs="Times New Roman"/>
          <w:sz w:val="24"/>
          <w:lang w:val="pl-PL"/>
        </w:rPr>
        <w:t>z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2022 r. poz. 1138 ze zm.),</w:t>
      </w:r>
    </w:p>
    <w:p w:rsidR="009D3039" w:rsidRPr="00BE797D" w:rsidRDefault="009D3039" w:rsidP="009D3039">
      <w:pPr>
        <w:numPr>
          <w:ilvl w:val="0"/>
          <w:numId w:val="1"/>
        </w:numPr>
        <w:spacing w:line="312" w:lineRule="auto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i/>
          <w:sz w:val="24"/>
          <w:lang w:val="pl-PL"/>
        </w:rPr>
        <w:t>Ustawa z dnia 6 kwietnia 1990 r. o Policji</w:t>
      </w:r>
      <w:r w:rsidRPr="00BE797D">
        <w:rPr>
          <w:rFonts w:ascii="Calibri" w:hAnsi="Calibri" w:cs="Times New Roman"/>
          <w:sz w:val="24"/>
          <w:lang w:val="pl-PL"/>
        </w:rPr>
        <w:t xml:space="preserve"> (</w:t>
      </w:r>
      <w:proofErr w:type="spellStart"/>
      <w:r w:rsidRPr="00BE797D">
        <w:rPr>
          <w:rFonts w:ascii="Calibri" w:hAnsi="Calibri" w:cs="Times New Roman"/>
          <w:sz w:val="24"/>
          <w:lang w:val="pl-PL"/>
        </w:rPr>
        <w:t>t.j</w:t>
      </w:r>
      <w:proofErr w:type="spellEnd"/>
      <w:r w:rsidRPr="00BE797D">
        <w:rPr>
          <w:rFonts w:ascii="Calibri" w:hAnsi="Calibri" w:cs="Times New Roman"/>
          <w:sz w:val="24"/>
          <w:lang w:val="pl-PL"/>
        </w:rPr>
        <w:t xml:space="preserve">. </w:t>
      </w:r>
      <w:proofErr w:type="spellStart"/>
      <w:r w:rsidRPr="00BE797D">
        <w:rPr>
          <w:rFonts w:ascii="Calibri" w:hAnsi="Calibri" w:cs="Times New Roman"/>
          <w:sz w:val="24"/>
          <w:lang w:val="pl-PL"/>
        </w:rPr>
        <w:t>Dz.U</w:t>
      </w:r>
      <w:proofErr w:type="spellEnd"/>
      <w:r w:rsidRPr="00BE797D">
        <w:rPr>
          <w:rFonts w:ascii="Calibri" w:hAnsi="Calibri" w:cs="Times New Roman"/>
          <w:sz w:val="24"/>
          <w:lang w:val="pl-PL"/>
        </w:rPr>
        <w:t xml:space="preserve">. </w:t>
      </w:r>
      <w:proofErr w:type="gramStart"/>
      <w:r w:rsidRPr="00BE797D">
        <w:rPr>
          <w:rFonts w:ascii="Calibri" w:hAnsi="Calibri" w:cs="Times New Roman"/>
          <w:sz w:val="24"/>
          <w:lang w:val="pl-PL"/>
        </w:rPr>
        <w:t>z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2023 r. poz. 171 ze zm.),</w:t>
      </w:r>
    </w:p>
    <w:p w:rsidR="009D3039" w:rsidRPr="00BE797D" w:rsidRDefault="009D3039" w:rsidP="009D3039">
      <w:pPr>
        <w:numPr>
          <w:ilvl w:val="0"/>
          <w:numId w:val="1"/>
        </w:numPr>
        <w:spacing w:line="312" w:lineRule="auto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i/>
          <w:sz w:val="24"/>
          <w:lang w:val="pl-PL"/>
        </w:rPr>
        <w:t>Ustawa z dnia 24 sierpnia 2001 r. o Żandarmerii Wojskowej i wojskowych organach porządkowych</w:t>
      </w:r>
      <w:r w:rsidRPr="00BE797D">
        <w:rPr>
          <w:rFonts w:ascii="Calibri" w:hAnsi="Calibri" w:cs="Times New Roman"/>
          <w:sz w:val="24"/>
          <w:lang w:val="pl-PL"/>
        </w:rPr>
        <w:t xml:space="preserve"> (</w:t>
      </w:r>
      <w:proofErr w:type="spellStart"/>
      <w:r w:rsidRPr="00BE797D">
        <w:rPr>
          <w:rFonts w:ascii="Calibri" w:hAnsi="Calibri" w:cs="Times New Roman"/>
          <w:sz w:val="24"/>
          <w:lang w:val="pl-PL"/>
        </w:rPr>
        <w:t>t.j</w:t>
      </w:r>
      <w:proofErr w:type="spellEnd"/>
      <w:r w:rsidRPr="00BE797D">
        <w:rPr>
          <w:rFonts w:ascii="Calibri" w:hAnsi="Calibri" w:cs="Times New Roman"/>
          <w:sz w:val="24"/>
          <w:lang w:val="pl-PL"/>
        </w:rPr>
        <w:t xml:space="preserve">. </w:t>
      </w:r>
      <w:proofErr w:type="spellStart"/>
      <w:r w:rsidRPr="00BE797D">
        <w:rPr>
          <w:rFonts w:ascii="Calibri" w:hAnsi="Calibri" w:cs="Times New Roman"/>
          <w:sz w:val="24"/>
          <w:lang w:val="pl-PL"/>
        </w:rPr>
        <w:t>Dz.U</w:t>
      </w:r>
      <w:proofErr w:type="spellEnd"/>
      <w:r w:rsidRPr="00BE797D">
        <w:rPr>
          <w:rFonts w:ascii="Calibri" w:hAnsi="Calibri" w:cs="Times New Roman"/>
          <w:sz w:val="24"/>
          <w:lang w:val="pl-PL"/>
        </w:rPr>
        <w:t xml:space="preserve">. </w:t>
      </w:r>
      <w:proofErr w:type="gramStart"/>
      <w:r w:rsidRPr="00BE797D">
        <w:rPr>
          <w:rFonts w:ascii="Calibri" w:hAnsi="Calibri" w:cs="Times New Roman"/>
          <w:sz w:val="24"/>
          <w:lang w:val="pl-PL"/>
        </w:rPr>
        <w:t>z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2023 r. poz. 1266),</w:t>
      </w:r>
    </w:p>
    <w:p w:rsidR="009D3039" w:rsidRPr="00BE797D" w:rsidRDefault="009D3039" w:rsidP="009D3039">
      <w:pPr>
        <w:numPr>
          <w:ilvl w:val="0"/>
          <w:numId w:val="1"/>
        </w:numPr>
        <w:spacing w:line="312" w:lineRule="auto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i/>
          <w:sz w:val="24"/>
          <w:lang w:val="pl-PL"/>
        </w:rPr>
        <w:t>Ustawa z dnia 24 kwietnia 2003 r. o działalności pożytku publicznego i o wolontariacie</w:t>
      </w:r>
      <w:r w:rsidRPr="00BE797D">
        <w:rPr>
          <w:rFonts w:ascii="Calibri" w:hAnsi="Calibri" w:cs="Times New Roman"/>
          <w:sz w:val="24"/>
          <w:lang w:val="pl-PL"/>
        </w:rPr>
        <w:t xml:space="preserve"> (</w:t>
      </w:r>
      <w:proofErr w:type="spellStart"/>
      <w:r w:rsidRPr="00BE797D">
        <w:rPr>
          <w:rFonts w:ascii="Calibri" w:hAnsi="Calibri" w:cs="Times New Roman"/>
          <w:sz w:val="24"/>
          <w:lang w:val="pl-PL"/>
        </w:rPr>
        <w:t>t.j</w:t>
      </w:r>
      <w:proofErr w:type="spellEnd"/>
      <w:r w:rsidRPr="00BE797D">
        <w:rPr>
          <w:rFonts w:ascii="Calibri" w:hAnsi="Calibri" w:cs="Times New Roman"/>
          <w:sz w:val="24"/>
          <w:lang w:val="pl-PL"/>
        </w:rPr>
        <w:t xml:space="preserve">. </w:t>
      </w:r>
      <w:proofErr w:type="spellStart"/>
      <w:r w:rsidRPr="00BE797D">
        <w:rPr>
          <w:rFonts w:ascii="Calibri" w:hAnsi="Calibri" w:cs="Times New Roman"/>
          <w:sz w:val="24"/>
          <w:lang w:val="pl-PL"/>
        </w:rPr>
        <w:t>Dz.U</w:t>
      </w:r>
      <w:proofErr w:type="spellEnd"/>
      <w:r w:rsidRPr="00BE797D">
        <w:rPr>
          <w:rFonts w:ascii="Calibri" w:hAnsi="Calibri" w:cs="Times New Roman"/>
          <w:sz w:val="24"/>
          <w:lang w:val="pl-PL"/>
        </w:rPr>
        <w:t xml:space="preserve">. </w:t>
      </w:r>
      <w:proofErr w:type="gramStart"/>
      <w:r w:rsidRPr="00BE797D">
        <w:rPr>
          <w:rFonts w:ascii="Calibri" w:hAnsi="Calibri" w:cs="Times New Roman"/>
          <w:sz w:val="24"/>
          <w:lang w:val="pl-PL"/>
        </w:rPr>
        <w:t>z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2023 r. poz. 571),</w:t>
      </w:r>
    </w:p>
    <w:p w:rsidR="009D3039" w:rsidRPr="00BE797D" w:rsidRDefault="009D3039" w:rsidP="009D3039">
      <w:pPr>
        <w:numPr>
          <w:ilvl w:val="0"/>
          <w:numId w:val="1"/>
        </w:numPr>
        <w:spacing w:after="240" w:line="312" w:lineRule="auto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i/>
          <w:sz w:val="24"/>
          <w:lang w:val="pl-PL"/>
        </w:rPr>
        <w:t>Rozporządzenie Rady Ministrów z dnia 6 września 2023 r. w sprawie procedury „Niebieskie Karty” oraz wzorów formularzy „Niebieska Karta”</w:t>
      </w:r>
      <w:r w:rsidRPr="00BE797D">
        <w:rPr>
          <w:rFonts w:ascii="Calibri" w:hAnsi="Calibri" w:cs="Times New Roman"/>
          <w:sz w:val="24"/>
          <w:lang w:val="pl-PL"/>
        </w:rPr>
        <w:t xml:space="preserve"> (</w:t>
      </w:r>
      <w:proofErr w:type="spellStart"/>
      <w:r w:rsidRPr="00BE797D">
        <w:rPr>
          <w:rFonts w:ascii="Calibri" w:hAnsi="Calibri" w:cs="Times New Roman"/>
          <w:sz w:val="24"/>
          <w:lang w:val="pl-PL"/>
        </w:rPr>
        <w:t>Dz.U</w:t>
      </w:r>
      <w:proofErr w:type="spellEnd"/>
      <w:r w:rsidRPr="00BE797D">
        <w:rPr>
          <w:rFonts w:ascii="Calibri" w:hAnsi="Calibri" w:cs="Times New Roman"/>
          <w:sz w:val="24"/>
          <w:lang w:val="pl-PL"/>
        </w:rPr>
        <w:t xml:space="preserve">. </w:t>
      </w:r>
      <w:proofErr w:type="gramStart"/>
      <w:r w:rsidRPr="00BE797D">
        <w:rPr>
          <w:rFonts w:ascii="Calibri" w:hAnsi="Calibri" w:cs="Times New Roman"/>
          <w:sz w:val="24"/>
          <w:lang w:val="pl-PL"/>
        </w:rPr>
        <w:t>z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2023 r. poz. 1870).</w:t>
      </w:r>
    </w:p>
    <w:p w:rsidR="009D3039" w:rsidRPr="00BE797D" w:rsidRDefault="009D3039" w:rsidP="009D3039">
      <w:pPr>
        <w:spacing w:after="120" w:line="312" w:lineRule="auto"/>
        <w:ind w:right="2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b/>
          <w:sz w:val="24"/>
          <w:lang w:val="pl-PL"/>
        </w:rPr>
        <w:t>Czym jest przemoc domowa?</w:t>
      </w:r>
    </w:p>
    <w:p w:rsidR="009D3039" w:rsidRPr="00BE797D" w:rsidRDefault="009D3039" w:rsidP="009D3039">
      <w:pPr>
        <w:spacing w:after="120" w:line="312" w:lineRule="auto"/>
        <w:ind w:right="2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b/>
          <w:sz w:val="24"/>
          <w:lang w:val="pl-PL"/>
        </w:rPr>
        <w:t>Przemoc domowa</w:t>
      </w:r>
      <w:r w:rsidRPr="00BE797D">
        <w:rPr>
          <w:rFonts w:ascii="Calibri" w:hAnsi="Calibri" w:cs="Times New Roman"/>
          <w:sz w:val="24"/>
          <w:lang w:val="pl-PL"/>
        </w:rPr>
        <w:t xml:space="preserve"> to jednorazowe albo powtarzające się umyślne działanie lub zaniechanie, wykorzystujące przewagę fizyczną, psychiczną lub ekonomiczną, naruszające prawa lub dobra osobiste osoby doznającej przemocy domowej, w szczególności:</w:t>
      </w:r>
    </w:p>
    <w:p w:rsidR="009D3039" w:rsidRPr="00BE797D" w:rsidRDefault="009D3039" w:rsidP="009D3039">
      <w:pPr>
        <w:numPr>
          <w:ilvl w:val="0"/>
          <w:numId w:val="2"/>
        </w:numPr>
        <w:spacing w:line="312" w:lineRule="auto"/>
        <w:ind w:right="2"/>
        <w:jc w:val="both"/>
        <w:rPr>
          <w:rFonts w:ascii="Calibri" w:hAnsi="Calibri" w:cs="Times New Roman"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sz w:val="24"/>
          <w:lang w:val="pl-PL"/>
        </w:rPr>
        <w:t>narażające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tę osobę na niebezpieczeństwo utraty życia, zdrowia lub mienia,</w:t>
      </w:r>
    </w:p>
    <w:p w:rsidR="009D3039" w:rsidRPr="00BE797D" w:rsidRDefault="009D3039" w:rsidP="009D3039">
      <w:pPr>
        <w:numPr>
          <w:ilvl w:val="0"/>
          <w:numId w:val="2"/>
        </w:numPr>
        <w:spacing w:line="312" w:lineRule="auto"/>
        <w:ind w:right="2"/>
        <w:jc w:val="both"/>
        <w:rPr>
          <w:rFonts w:ascii="Calibri" w:hAnsi="Calibri" w:cs="Times New Roman"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sz w:val="24"/>
          <w:lang w:val="pl-PL"/>
        </w:rPr>
        <w:t>naruszające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jej godność, nietykalność cielesną lub wolność, w tym seksualną,</w:t>
      </w:r>
    </w:p>
    <w:p w:rsidR="009D3039" w:rsidRPr="00BE797D" w:rsidRDefault="009D3039" w:rsidP="009D3039">
      <w:pPr>
        <w:numPr>
          <w:ilvl w:val="0"/>
          <w:numId w:val="2"/>
        </w:numPr>
        <w:spacing w:line="312" w:lineRule="auto"/>
        <w:ind w:right="2"/>
        <w:jc w:val="both"/>
        <w:rPr>
          <w:rFonts w:ascii="Calibri" w:hAnsi="Calibri" w:cs="Times New Roman"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sz w:val="24"/>
          <w:lang w:val="pl-PL"/>
        </w:rPr>
        <w:t>powodujące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szkody na jej zdrowiu fizycznym lub psychicznym, wywołujące u tej osoby cierpienie lub krzywdę,</w:t>
      </w:r>
    </w:p>
    <w:p w:rsidR="009D3039" w:rsidRPr="00BE797D" w:rsidRDefault="009D3039" w:rsidP="009D3039">
      <w:pPr>
        <w:numPr>
          <w:ilvl w:val="0"/>
          <w:numId w:val="2"/>
        </w:numPr>
        <w:spacing w:line="312" w:lineRule="auto"/>
        <w:ind w:right="2"/>
        <w:jc w:val="both"/>
        <w:rPr>
          <w:rFonts w:ascii="Calibri" w:hAnsi="Calibri" w:cs="Times New Roman"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sz w:val="24"/>
          <w:lang w:val="pl-PL"/>
        </w:rPr>
        <w:t>ograniczające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lub pozbawiające tę osobę dostępu do środków finansowych lub możliwości podjęcia pracy, lub uzyskania samodzielności finansowej,</w:t>
      </w:r>
    </w:p>
    <w:p w:rsidR="009D3039" w:rsidRPr="00BE797D" w:rsidRDefault="009D3039" w:rsidP="009D3039">
      <w:pPr>
        <w:numPr>
          <w:ilvl w:val="0"/>
          <w:numId w:val="2"/>
        </w:numPr>
        <w:spacing w:after="120" w:line="312" w:lineRule="auto"/>
        <w:ind w:right="2"/>
        <w:jc w:val="both"/>
        <w:rPr>
          <w:rFonts w:ascii="Calibri" w:hAnsi="Calibri" w:cs="Times New Roman"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sz w:val="24"/>
          <w:lang w:val="pl-PL"/>
        </w:rPr>
        <w:t>istotnie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naruszające prywatność tej osoby lub wzbudzające u niej poczucie zagrożenia, poniżenia lub udręczenia, w tym podejmowane za pomocą środków komunikacji elektronicznej.</w:t>
      </w:r>
    </w:p>
    <w:p w:rsidR="009D3039" w:rsidRPr="00BE797D" w:rsidRDefault="009D3039" w:rsidP="009D3039">
      <w:pPr>
        <w:spacing w:after="120" w:line="312" w:lineRule="auto"/>
        <w:ind w:right="2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sz w:val="24"/>
          <w:lang w:val="pl-PL"/>
        </w:rPr>
        <w:t xml:space="preserve">Przez </w:t>
      </w:r>
      <w:r w:rsidRPr="00BE797D">
        <w:rPr>
          <w:rFonts w:ascii="Calibri" w:hAnsi="Calibri" w:cs="Times New Roman"/>
          <w:b/>
          <w:sz w:val="24"/>
          <w:lang w:val="pl-PL"/>
        </w:rPr>
        <w:t>osobę doznającą przemocy domowej</w:t>
      </w:r>
      <w:r w:rsidRPr="00BE797D">
        <w:rPr>
          <w:rFonts w:ascii="Calibri" w:hAnsi="Calibri" w:cs="Times New Roman"/>
          <w:sz w:val="24"/>
          <w:lang w:val="pl-PL"/>
        </w:rPr>
        <w:t xml:space="preserve"> należy rozumieć:</w:t>
      </w:r>
    </w:p>
    <w:p w:rsidR="009D3039" w:rsidRPr="00BE797D" w:rsidRDefault="009D3039" w:rsidP="009D3039">
      <w:pPr>
        <w:numPr>
          <w:ilvl w:val="0"/>
          <w:numId w:val="3"/>
        </w:numPr>
        <w:spacing w:line="312" w:lineRule="auto"/>
        <w:ind w:left="723" w:right="2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sz w:val="24"/>
          <w:lang w:val="pl-PL"/>
        </w:rPr>
        <w:t xml:space="preserve">małżonka, także w </w:t>
      </w:r>
      <w:proofErr w:type="gramStart"/>
      <w:r w:rsidRPr="00BE797D">
        <w:rPr>
          <w:rFonts w:ascii="Calibri" w:hAnsi="Calibri" w:cs="Times New Roman"/>
          <w:sz w:val="24"/>
          <w:lang w:val="pl-PL"/>
        </w:rPr>
        <w:t>przypadku gdy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małżeństwo ustało lub zostało unieważnione, oraz jego wstępnych, zstępnych, rodzeństwo i ich małżonków,</w:t>
      </w:r>
    </w:p>
    <w:p w:rsidR="009D3039" w:rsidRPr="00BE797D" w:rsidRDefault="009D3039" w:rsidP="009D3039">
      <w:pPr>
        <w:numPr>
          <w:ilvl w:val="0"/>
          <w:numId w:val="3"/>
        </w:numPr>
        <w:spacing w:line="312" w:lineRule="auto"/>
        <w:ind w:left="723" w:right="2"/>
        <w:jc w:val="both"/>
        <w:rPr>
          <w:rFonts w:ascii="Calibri" w:hAnsi="Calibri" w:cs="Times New Roman"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sz w:val="24"/>
          <w:lang w:val="pl-PL"/>
        </w:rPr>
        <w:t>wstępnych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i zstępnych oraz ich małżonków,</w:t>
      </w:r>
    </w:p>
    <w:p w:rsidR="009D3039" w:rsidRPr="00BE797D" w:rsidRDefault="009D3039" w:rsidP="009D3039">
      <w:pPr>
        <w:numPr>
          <w:ilvl w:val="0"/>
          <w:numId w:val="3"/>
        </w:numPr>
        <w:spacing w:line="312" w:lineRule="auto"/>
        <w:ind w:left="723" w:right="2"/>
        <w:jc w:val="both"/>
        <w:rPr>
          <w:rFonts w:ascii="Calibri" w:hAnsi="Calibri" w:cs="Times New Roman"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sz w:val="24"/>
          <w:lang w:val="pl-PL"/>
        </w:rPr>
        <w:t>rodzeństwo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oraz ich wstępnych, zstępnych i ich małżonków,</w:t>
      </w:r>
    </w:p>
    <w:p w:rsidR="009D3039" w:rsidRPr="00BE797D" w:rsidRDefault="009D3039" w:rsidP="009D3039">
      <w:pPr>
        <w:numPr>
          <w:ilvl w:val="0"/>
          <w:numId w:val="3"/>
        </w:numPr>
        <w:spacing w:line="312" w:lineRule="auto"/>
        <w:ind w:left="723" w:right="2"/>
        <w:jc w:val="both"/>
        <w:rPr>
          <w:rFonts w:ascii="Calibri" w:hAnsi="Calibri" w:cs="Times New Roman"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sz w:val="24"/>
          <w:lang w:val="pl-PL"/>
        </w:rPr>
        <w:t>osobę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pozostającą w stosunku przysposobienia i jej małżonka oraz ich wstępnych, zstępnych, rodzeństwo i ich małżonków,</w:t>
      </w:r>
    </w:p>
    <w:p w:rsidR="009D3039" w:rsidRPr="00BE797D" w:rsidRDefault="009D3039" w:rsidP="009D3039">
      <w:pPr>
        <w:numPr>
          <w:ilvl w:val="0"/>
          <w:numId w:val="3"/>
        </w:numPr>
        <w:spacing w:line="312" w:lineRule="auto"/>
        <w:ind w:left="723" w:right="2"/>
        <w:jc w:val="both"/>
        <w:rPr>
          <w:rFonts w:ascii="Calibri" w:hAnsi="Calibri" w:cs="Times New Roman"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sz w:val="24"/>
          <w:lang w:val="pl-PL"/>
        </w:rPr>
        <w:lastRenderedPageBreak/>
        <w:t>osobę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pozostającą obecnie lub w przeszłości we wspólnym pożyciu oraz jej wstępnych, zstępnych, rodzeństwo i ich małżonków,</w:t>
      </w:r>
    </w:p>
    <w:p w:rsidR="009D3039" w:rsidRPr="00BE797D" w:rsidRDefault="009D3039" w:rsidP="009D3039">
      <w:pPr>
        <w:numPr>
          <w:ilvl w:val="0"/>
          <w:numId w:val="3"/>
        </w:numPr>
        <w:spacing w:line="312" w:lineRule="auto"/>
        <w:ind w:left="723" w:right="2"/>
        <w:jc w:val="both"/>
        <w:rPr>
          <w:rFonts w:ascii="Calibri" w:hAnsi="Calibri" w:cs="Times New Roman"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sz w:val="24"/>
          <w:lang w:val="pl-PL"/>
        </w:rPr>
        <w:t>osobę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wspólnie zamieszkującą i gospodarującą oraz jej wstępnych, zstępnych, rodzeństwo i ich małżonków,</w:t>
      </w:r>
    </w:p>
    <w:p w:rsidR="009D3039" w:rsidRPr="00BE797D" w:rsidRDefault="009D3039" w:rsidP="009D3039">
      <w:pPr>
        <w:numPr>
          <w:ilvl w:val="0"/>
          <w:numId w:val="3"/>
        </w:numPr>
        <w:spacing w:line="312" w:lineRule="auto"/>
        <w:ind w:left="723" w:right="2"/>
        <w:jc w:val="both"/>
        <w:rPr>
          <w:rFonts w:ascii="Calibri" w:hAnsi="Calibri" w:cs="Times New Roman"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sz w:val="24"/>
          <w:lang w:val="pl-PL"/>
        </w:rPr>
        <w:t>osobę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pozostającą obecnie lub w przeszłości w trwałej relacji uczuciowej lub fizycznej niezależnie od wspólnego zamieszkiwania i gospodarowania,</w:t>
      </w:r>
    </w:p>
    <w:p w:rsidR="009D3039" w:rsidRPr="00BE797D" w:rsidRDefault="009D3039" w:rsidP="009D3039">
      <w:pPr>
        <w:numPr>
          <w:ilvl w:val="0"/>
          <w:numId w:val="3"/>
        </w:numPr>
        <w:spacing w:after="120" w:line="312" w:lineRule="auto"/>
        <w:ind w:left="723" w:right="2"/>
        <w:jc w:val="both"/>
        <w:rPr>
          <w:rFonts w:ascii="Calibri" w:hAnsi="Calibri" w:cs="Times New Roman"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sz w:val="24"/>
          <w:lang w:val="pl-PL"/>
        </w:rPr>
        <w:t>małoletniego</w:t>
      </w:r>
      <w:proofErr w:type="gramEnd"/>
    </w:p>
    <w:p w:rsidR="009D3039" w:rsidRPr="00BE797D" w:rsidRDefault="009D3039" w:rsidP="009D3039">
      <w:pPr>
        <w:spacing w:line="312" w:lineRule="auto"/>
        <w:ind w:right="2"/>
        <w:jc w:val="both"/>
        <w:rPr>
          <w:rFonts w:ascii="Calibri" w:hAnsi="Calibri" w:cs="Times New Roman"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sz w:val="24"/>
          <w:lang w:val="pl-PL"/>
        </w:rPr>
        <w:t>– wobec których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jest stosowana przemoc domowa.</w:t>
      </w:r>
    </w:p>
    <w:p w:rsidR="009D3039" w:rsidRPr="00BE797D" w:rsidRDefault="009D3039" w:rsidP="009D3039">
      <w:pPr>
        <w:spacing w:after="120" w:line="312" w:lineRule="auto"/>
        <w:ind w:right="2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sz w:val="24"/>
          <w:lang w:val="pl-PL"/>
        </w:rPr>
        <w:t xml:space="preserve">Przez </w:t>
      </w:r>
      <w:r w:rsidRPr="00BE797D">
        <w:rPr>
          <w:rFonts w:ascii="Calibri" w:hAnsi="Calibri" w:cs="Times New Roman"/>
          <w:b/>
          <w:sz w:val="24"/>
          <w:lang w:val="pl-PL"/>
        </w:rPr>
        <w:t>osobę stosującą przemoc domową</w:t>
      </w:r>
      <w:r w:rsidRPr="00BE797D">
        <w:rPr>
          <w:rFonts w:ascii="Calibri" w:hAnsi="Calibri" w:cs="Times New Roman"/>
          <w:sz w:val="24"/>
          <w:lang w:val="pl-PL"/>
        </w:rPr>
        <w:t xml:space="preserve"> należy rozumieć pełnoletniego, który dopuszcza się przemocy domowej wobec osób doznających przemocy domowej.</w:t>
      </w:r>
    </w:p>
    <w:p w:rsidR="009D3039" w:rsidRPr="00BE797D" w:rsidRDefault="009D3039" w:rsidP="009D3039">
      <w:pPr>
        <w:spacing w:line="312" w:lineRule="auto"/>
        <w:ind w:right="2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sz w:val="24"/>
          <w:lang w:val="pl-PL"/>
        </w:rPr>
        <w:t xml:space="preserve">Przez </w:t>
      </w:r>
      <w:r w:rsidRPr="00BE797D">
        <w:rPr>
          <w:rFonts w:ascii="Calibri" w:hAnsi="Calibri" w:cs="Times New Roman"/>
          <w:b/>
          <w:sz w:val="24"/>
          <w:lang w:val="pl-PL"/>
        </w:rPr>
        <w:t>świadka przemocy domowej</w:t>
      </w:r>
      <w:r w:rsidRPr="00BE797D">
        <w:rPr>
          <w:rFonts w:ascii="Calibri" w:hAnsi="Calibri" w:cs="Times New Roman"/>
          <w:sz w:val="24"/>
          <w:lang w:val="pl-PL"/>
        </w:rPr>
        <w:t xml:space="preserve"> należy rozumieć osobę, która posiada wiedzę na temat stosowania przemocy domowej lub widziała akt przemocy </w:t>
      </w:r>
      <w:proofErr w:type="gramStart"/>
      <w:r w:rsidRPr="00BE797D">
        <w:rPr>
          <w:rFonts w:ascii="Calibri" w:hAnsi="Calibri" w:cs="Times New Roman"/>
          <w:sz w:val="24"/>
          <w:lang w:val="pl-PL"/>
        </w:rPr>
        <w:t>domowej (przy czym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małoletni będący świadkiem przemocy domowej wobec osób doznających przemocy domowej również jest uważany za osobę doznającą przemocy domowej).</w:t>
      </w:r>
    </w:p>
    <w:p w:rsidR="009D3039" w:rsidRPr="00BE797D" w:rsidRDefault="009D3039" w:rsidP="009D3039">
      <w:pPr>
        <w:spacing w:before="240" w:after="120" w:line="312" w:lineRule="auto"/>
        <w:ind w:right="2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b/>
          <w:sz w:val="24"/>
          <w:lang w:val="pl-PL"/>
        </w:rPr>
        <w:t>Cel wszczęcia procedury</w:t>
      </w:r>
    </w:p>
    <w:p w:rsidR="009D3039" w:rsidRPr="00BE797D" w:rsidRDefault="009D3039" w:rsidP="009D3039">
      <w:pPr>
        <w:spacing w:line="312" w:lineRule="auto"/>
        <w:ind w:right="2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sz w:val="24"/>
          <w:lang w:val="pl-PL"/>
        </w:rPr>
        <w:t xml:space="preserve">Podjęcie działań interwencyjnych mających na celu zapewnienie bezpieczeństwa dziecku oraz najbliższym osobom z jego środowiska, </w:t>
      </w:r>
      <w:proofErr w:type="gramStart"/>
      <w:r w:rsidRPr="00BE797D">
        <w:rPr>
          <w:rFonts w:ascii="Calibri" w:hAnsi="Calibri" w:cs="Times New Roman"/>
          <w:sz w:val="24"/>
          <w:lang w:val="pl-PL"/>
        </w:rPr>
        <w:t>co do których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istnieje podejrzenie, że są dotknięte przemocą domową.</w:t>
      </w:r>
    </w:p>
    <w:p w:rsidR="009D3039" w:rsidRPr="00BE797D" w:rsidRDefault="009D3039" w:rsidP="009D3039">
      <w:pPr>
        <w:spacing w:before="240" w:after="120" w:line="312" w:lineRule="auto"/>
        <w:ind w:right="2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b/>
          <w:sz w:val="24"/>
          <w:lang w:val="pl-PL"/>
        </w:rPr>
        <w:t>Kiedy należy wszcząć procedurę „Niebieskiej Karty”?</w:t>
      </w:r>
    </w:p>
    <w:p w:rsidR="009D3039" w:rsidRPr="00BE797D" w:rsidRDefault="009D3039" w:rsidP="009D3039">
      <w:pPr>
        <w:spacing w:line="312" w:lineRule="auto"/>
        <w:ind w:right="2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sz w:val="24"/>
          <w:lang w:val="pl-PL"/>
        </w:rPr>
        <w:t>Wszczęcie procedury następuje w przypadku zaistnienia podejrzenia stosowania wobec dziecka przemocy domowej. Podejmowanie interwencji na podstawie procedury „Niebieskiej Karty” nie wymaga zgody osoby doznającej przemocy domowej ani osoby stosującej przemoc domową.</w:t>
      </w:r>
    </w:p>
    <w:p w:rsidR="009D3039" w:rsidRPr="00BE797D" w:rsidRDefault="009D3039" w:rsidP="009D3039">
      <w:pPr>
        <w:spacing w:before="240" w:after="120" w:line="312" w:lineRule="auto"/>
        <w:ind w:right="2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b/>
          <w:sz w:val="24"/>
          <w:lang w:val="pl-PL"/>
        </w:rPr>
        <w:t>Formularze:</w:t>
      </w:r>
    </w:p>
    <w:p w:rsidR="009D3039" w:rsidRPr="00BE797D" w:rsidRDefault="009D3039" w:rsidP="009D3039">
      <w:pPr>
        <w:numPr>
          <w:ilvl w:val="0"/>
          <w:numId w:val="4"/>
        </w:numPr>
        <w:spacing w:line="312" w:lineRule="auto"/>
        <w:ind w:left="723" w:right="2"/>
        <w:jc w:val="both"/>
        <w:rPr>
          <w:rFonts w:ascii="Calibri" w:hAnsi="Calibri" w:cs="Times New Roman"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sz w:val="24"/>
          <w:lang w:val="pl-PL"/>
        </w:rPr>
        <w:t>formularz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„Niebieska Karta – A” – wypełniany przez przedstawiciela poradni po uzyskaniu informacji o stosowaniu przemocy domowej wobec dziecka lub członka jego rodziny; wzór formularza „Niebieska Karta – A” stanowi załącznik nr 1 do </w:t>
      </w:r>
      <w:r w:rsidRPr="00BE797D">
        <w:rPr>
          <w:rFonts w:ascii="Calibri" w:hAnsi="Calibri" w:cs="Times New Roman"/>
          <w:i/>
          <w:sz w:val="24"/>
          <w:lang w:val="pl-PL"/>
        </w:rPr>
        <w:t>Rozporządzenia</w:t>
      </w:r>
      <w:r w:rsidRPr="00BE797D">
        <w:rPr>
          <w:rFonts w:ascii="Calibri" w:hAnsi="Calibri" w:cs="Times New Roman"/>
          <w:sz w:val="24"/>
          <w:lang w:val="pl-PL"/>
        </w:rPr>
        <w:t>,</w:t>
      </w:r>
    </w:p>
    <w:p w:rsidR="009D3039" w:rsidRPr="00BE797D" w:rsidRDefault="009D3039" w:rsidP="009D3039">
      <w:pPr>
        <w:numPr>
          <w:ilvl w:val="0"/>
          <w:numId w:val="4"/>
        </w:numPr>
        <w:spacing w:line="312" w:lineRule="auto"/>
        <w:ind w:left="723" w:right="2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sz w:val="24"/>
          <w:lang w:val="pl-PL"/>
        </w:rPr>
        <w:t xml:space="preserve">formularz „Niebieska Karta – B” – przekazywany jest osobie, </w:t>
      </w:r>
      <w:proofErr w:type="gramStart"/>
      <w:r w:rsidRPr="00BE797D">
        <w:rPr>
          <w:rFonts w:ascii="Calibri" w:hAnsi="Calibri" w:cs="Times New Roman"/>
          <w:sz w:val="24"/>
          <w:lang w:val="pl-PL"/>
        </w:rPr>
        <w:t>co do której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istnieje podejrzenie, że jest dotknięta przemocą domową (jeżeli osobą doznającą przemocy domowej jest małoletni, formularz „Niebieska Karta – B” przekazuje się rodzicowi, opiekunowi prawnemu lub faktycznemu bądź w uzasadnionych przypadkach osobie najbliższej lub pełnoletniej osobie wskazanej przez małoletniego, ale nie osobie </w:t>
      </w:r>
      <w:r w:rsidRPr="00BE797D">
        <w:rPr>
          <w:rFonts w:ascii="Calibri" w:hAnsi="Calibri" w:cs="Times New Roman"/>
          <w:sz w:val="24"/>
          <w:lang w:val="pl-PL"/>
        </w:rPr>
        <w:lastRenderedPageBreak/>
        <w:t xml:space="preserve">podejrzewanej o stosowanie przemocy domowej); wzór formularza „Niebieska Karta – B” stanowi załącznik nr 2 do </w:t>
      </w:r>
      <w:r w:rsidRPr="00BE797D">
        <w:rPr>
          <w:rFonts w:ascii="Calibri" w:hAnsi="Calibri" w:cs="Times New Roman"/>
          <w:i/>
          <w:sz w:val="24"/>
          <w:lang w:val="pl-PL"/>
        </w:rPr>
        <w:t>Rozporządzenia</w:t>
      </w:r>
      <w:r w:rsidRPr="00BE797D">
        <w:rPr>
          <w:rFonts w:ascii="Calibri" w:hAnsi="Calibri" w:cs="Times New Roman"/>
          <w:sz w:val="24"/>
          <w:lang w:val="pl-PL"/>
        </w:rPr>
        <w:t>,</w:t>
      </w:r>
    </w:p>
    <w:p w:rsidR="009D3039" w:rsidRPr="00BE797D" w:rsidRDefault="009D3039" w:rsidP="009D3039">
      <w:pPr>
        <w:numPr>
          <w:ilvl w:val="0"/>
          <w:numId w:val="4"/>
        </w:numPr>
        <w:spacing w:line="312" w:lineRule="auto"/>
        <w:ind w:left="723" w:right="2"/>
        <w:jc w:val="both"/>
        <w:rPr>
          <w:rFonts w:ascii="Calibri" w:hAnsi="Calibri" w:cs="Times New Roman"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sz w:val="24"/>
          <w:lang w:val="pl-PL"/>
        </w:rPr>
        <w:t>formularz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„Niebieska Karta – C” – wypełniany przez członków grupy diagnostyczno-pomocowej wobec osoby dotkniętej przemocą domową,</w:t>
      </w:r>
    </w:p>
    <w:p w:rsidR="009D3039" w:rsidRPr="00BE797D" w:rsidRDefault="009D3039" w:rsidP="009D3039">
      <w:pPr>
        <w:numPr>
          <w:ilvl w:val="0"/>
          <w:numId w:val="4"/>
        </w:numPr>
        <w:spacing w:after="120" w:line="312" w:lineRule="auto"/>
        <w:ind w:left="723" w:right="2"/>
        <w:jc w:val="both"/>
        <w:rPr>
          <w:rFonts w:ascii="Calibri" w:hAnsi="Calibri" w:cs="Times New Roman"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sz w:val="24"/>
          <w:lang w:val="pl-PL"/>
        </w:rPr>
        <w:t>formularz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„Niebieska Karta – D” – wypełniany przez członków grupy diagnostyczno-pomocowej wobec osoby podejrzanej o stosowanie przemocy domowej.</w:t>
      </w:r>
    </w:p>
    <w:p w:rsidR="009D3039" w:rsidRPr="00BE797D" w:rsidRDefault="009D3039" w:rsidP="009D3039">
      <w:pPr>
        <w:spacing w:line="312" w:lineRule="auto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sz w:val="24"/>
          <w:lang w:val="pl-PL"/>
        </w:rPr>
        <w:t xml:space="preserve">Wszczęcie procedury następuje z chwilą wypełnienia formularza „Niebieska Karta – A” w przypadku uzasadnionego podejrzenia stosowania przemocy domowej lub zgłoszenia dokonanego przez świadka przemocy domowej. </w:t>
      </w:r>
    </w:p>
    <w:p w:rsidR="009D3039" w:rsidRPr="00BE797D" w:rsidRDefault="009D3039" w:rsidP="009D3039">
      <w:pPr>
        <w:spacing w:after="120" w:line="312" w:lineRule="auto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sz w:val="24"/>
          <w:lang w:val="pl-PL"/>
        </w:rPr>
        <w:t xml:space="preserve">Wypełnienie formularza „Niebieska Karta – A” następuje w obecności pełnoletniej osoby doznającej przemocy domowej. Jeżeli istnieje podejrzenie stosowania przemocy domowej wobec małoletniego, działania w ramach procedury przeprowadza się w obecności rodzica, opiekuna prawnego lub faktycznego (w tym, w miarę możliwości, z udziałem psychologa). Jeżeli istnieje podejrzenie, że osobami stosującymi przemoc domową wobec małoletniego są rodzice, opiekunowie prawni lub faktyczni, działania w ramach procedury przeprowadza się w obecności pełnoletniej osoby najbliższej w rozumieniu art. 115 § 11 </w:t>
      </w:r>
      <w:r w:rsidRPr="00BE797D">
        <w:rPr>
          <w:rFonts w:ascii="Calibri" w:hAnsi="Calibri" w:cs="Times New Roman"/>
          <w:i/>
          <w:sz w:val="24"/>
          <w:lang w:val="pl-PL"/>
        </w:rPr>
        <w:t>Ustawy z dnia 6 czerwca 1997 r. Kodeks karny</w:t>
      </w:r>
      <w:r w:rsidRPr="00BE797D">
        <w:rPr>
          <w:rFonts w:ascii="Calibri" w:hAnsi="Calibri" w:cs="Times New Roman"/>
          <w:sz w:val="24"/>
          <w:lang w:val="pl-PL"/>
        </w:rPr>
        <w:t xml:space="preserve"> lub pełnoletniej osoby wskazanej przez małoletniego. Jeżeli wypełnienie formularza „Niebieska Karta – A” nie jest możliwe z powodu nieobecności pełnoletniej osoby doznającej przemocy domowej, jej stanu zdrowia lub ze względu na zagrożenie jej życia lub zdrowia, wypełnienie formularza „Niebieska Karta – A” następuje niezwłocznie po nawiązaniu bezpośredniego kontaktu z tą osobą lub po ustaniu przyczyny uniemożliwiającej jego wypełnienie.</w:t>
      </w:r>
      <w:r w:rsidRPr="00BE797D" w:rsidDel="00405956">
        <w:rPr>
          <w:rFonts w:ascii="Calibri" w:hAnsi="Calibri" w:cs="Times New Roman"/>
          <w:sz w:val="24"/>
          <w:lang w:val="pl-PL"/>
        </w:rPr>
        <w:t xml:space="preserve"> </w:t>
      </w:r>
      <w:r w:rsidRPr="00BE797D">
        <w:rPr>
          <w:rFonts w:ascii="Calibri" w:hAnsi="Calibri" w:cs="Times New Roman"/>
          <w:sz w:val="24"/>
          <w:lang w:val="pl-PL"/>
        </w:rPr>
        <w:t>Osoba wszczynająca procedurę podejmuje działania interwencyjne mające na celu zapewnienie bezpieczeństwa osobie doznającej przemocy domowej. Działania te polegają w szczególności na:</w:t>
      </w:r>
    </w:p>
    <w:p w:rsidR="009D3039" w:rsidRPr="00BE797D" w:rsidRDefault="009D3039" w:rsidP="009D3039">
      <w:pPr>
        <w:numPr>
          <w:ilvl w:val="0"/>
          <w:numId w:val="5"/>
        </w:numPr>
        <w:spacing w:line="312" w:lineRule="auto"/>
        <w:jc w:val="both"/>
        <w:rPr>
          <w:rFonts w:ascii="Calibri" w:hAnsi="Calibri" w:cs="Times New Roman"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sz w:val="24"/>
          <w:lang w:val="pl-PL"/>
        </w:rPr>
        <w:t>zapobieżeniu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zagrożenia dla życia lub zdrowia osoby doznającej przemocy domowej, w tym informowaniu policji lub żandarmerii wojskowej o okolicznościach uzasadniających zastosowanie art. 15aa (nakaz natychmiastowego opuszczenia wspólnie zajmowanego mieszkania i jego bezpośredniego otoczenia lub zakaz zbliżania się do mieszkania i jego bezpośredniego otoczenia) i art. 15 (podjęcie niezbędnych czynności przez funkcjonariusza policji, w tym możliwość zatrzymania osoby) </w:t>
      </w:r>
      <w:r w:rsidRPr="00BE797D">
        <w:rPr>
          <w:rFonts w:ascii="Calibri" w:hAnsi="Calibri" w:cs="Times New Roman"/>
          <w:i/>
          <w:sz w:val="24"/>
          <w:lang w:val="pl-PL"/>
        </w:rPr>
        <w:t>Ustawy z dnia 6 kwietnia 1990 r. o Policji</w:t>
      </w:r>
      <w:r w:rsidRPr="00BE797D">
        <w:rPr>
          <w:rFonts w:ascii="Calibri" w:hAnsi="Calibri" w:cs="Times New Roman"/>
          <w:sz w:val="24"/>
          <w:lang w:val="pl-PL"/>
        </w:rPr>
        <w:t xml:space="preserve">, a w przypadku żołnierzy pełniących czynną służbę wojskową – art. 18a i art. 18aa </w:t>
      </w:r>
      <w:r w:rsidRPr="00BE797D">
        <w:rPr>
          <w:rFonts w:ascii="Calibri" w:hAnsi="Calibri" w:cs="Times New Roman"/>
          <w:i/>
          <w:sz w:val="24"/>
          <w:lang w:val="pl-PL"/>
        </w:rPr>
        <w:t>Ustawy z dnia 24 sierpnia 2001 r. o Żandarmerii Wojskowej i wojskowych organach porządkowych</w:t>
      </w:r>
      <w:r w:rsidRPr="00BE797D">
        <w:rPr>
          <w:rFonts w:ascii="Calibri" w:hAnsi="Calibri" w:cs="Times New Roman"/>
          <w:sz w:val="24"/>
          <w:lang w:val="pl-PL"/>
        </w:rPr>
        <w:t>,</w:t>
      </w:r>
    </w:p>
    <w:p w:rsidR="009D3039" w:rsidRPr="00BE797D" w:rsidRDefault="009D3039" w:rsidP="009D3039">
      <w:pPr>
        <w:numPr>
          <w:ilvl w:val="0"/>
          <w:numId w:val="5"/>
        </w:numPr>
        <w:spacing w:line="312" w:lineRule="auto"/>
        <w:jc w:val="both"/>
        <w:rPr>
          <w:rFonts w:ascii="Calibri" w:hAnsi="Calibri" w:cs="Times New Roman"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sz w:val="24"/>
          <w:lang w:val="pl-PL"/>
        </w:rPr>
        <w:t>udzieleniu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osobie doznającej przemocy domowej pierwszej pomocy przedmedycznej lub zapewnieniu pomocy medycznej,</w:t>
      </w:r>
    </w:p>
    <w:p w:rsidR="009D3039" w:rsidRPr="00BE797D" w:rsidRDefault="009D3039" w:rsidP="009D3039">
      <w:pPr>
        <w:numPr>
          <w:ilvl w:val="0"/>
          <w:numId w:val="5"/>
        </w:numPr>
        <w:spacing w:line="312" w:lineRule="auto"/>
        <w:jc w:val="both"/>
        <w:rPr>
          <w:rFonts w:ascii="Calibri" w:hAnsi="Calibri" w:cs="Times New Roman"/>
          <w:sz w:val="24"/>
          <w:lang w:val="pl-PL"/>
        </w:rPr>
      </w:pPr>
      <w:proofErr w:type="gramStart"/>
      <w:r w:rsidRPr="00BE797D">
        <w:rPr>
          <w:rFonts w:ascii="Calibri" w:hAnsi="Calibri" w:cs="Times New Roman"/>
          <w:sz w:val="24"/>
          <w:lang w:val="pl-PL"/>
        </w:rPr>
        <w:lastRenderedPageBreak/>
        <w:t>zaspokojeniu</w:t>
      </w:r>
      <w:proofErr w:type="gramEnd"/>
      <w:r w:rsidRPr="00BE797D">
        <w:rPr>
          <w:rFonts w:ascii="Calibri" w:hAnsi="Calibri" w:cs="Times New Roman"/>
          <w:sz w:val="24"/>
          <w:lang w:val="pl-PL"/>
        </w:rPr>
        <w:t xml:space="preserve"> podstawowych potrzeb, w tym udzieleniu wsparcia i poradnictwa, w szczególności od przedstawicieli jednostek organizacyjnych pomocy społecznej, specjalistycznych ośrodków wsparcia dla osób doznających przemocy domowej, organizacji pozarządowych i stowarzyszeń działających na rzecz osób doznających przemocy domowej na podstawie </w:t>
      </w:r>
      <w:r w:rsidRPr="00BE797D">
        <w:rPr>
          <w:rFonts w:ascii="Calibri" w:hAnsi="Calibri" w:cs="Times New Roman"/>
          <w:i/>
          <w:sz w:val="24"/>
          <w:lang w:val="pl-PL"/>
        </w:rPr>
        <w:t>Ustawy z dnia 24 kwietnia 2003 r. o działalności pożytku publicznego i o wolontariacie</w:t>
      </w:r>
      <w:r w:rsidRPr="00BE797D">
        <w:rPr>
          <w:rFonts w:ascii="Calibri" w:hAnsi="Calibri" w:cs="Times New Roman"/>
          <w:sz w:val="24"/>
          <w:lang w:val="pl-PL"/>
        </w:rPr>
        <w:t>.</w:t>
      </w:r>
    </w:p>
    <w:p w:rsidR="009D3039" w:rsidRPr="00BE797D" w:rsidRDefault="009D3039" w:rsidP="009D3039">
      <w:pPr>
        <w:spacing w:after="120" w:line="312" w:lineRule="auto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sz w:val="24"/>
          <w:lang w:val="pl-PL"/>
        </w:rPr>
        <w:t>Ponadto osoba wszczynająca procedurę dokonuje wstępnej diagnozy sytuacji w związku z zaistnieniem uzasadnionego podejrzenia stosowania przemocy domowej i przeprowadza rozmowę z osobą doznającą przemocy domowej, a także, w miarę możliwości, z osobą stosującą przemoc. Rozmowę z osobą doznającą przemocy domowej przeprowadza się w warunkach gwarantujących swobodę wypowiedzi, poszanowanie godności oraz zapewniających bezpieczeństwo. Osobie doznającej przemocy domowej przekazuje się informacje w prostym, przejrzystym i przystępnym dla niej języku, z uwzględnieniem stanu i okoliczności, które mogą mieć wpływ na zdolność rozumienia i bycie rozumianym. W trakcie rozmowy z osobą stosującą przemoc domową informuje się ją w szczególności o prawnokarnych konsekwencjach stosowania przemocy domowej oraz wskazuje na konieczność zmiany sposobu postępowania.</w:t>
      </w:r>
    </w:p>
    <w:p w:rsidR="009D3039" w:rsidRPr="00BE797D" w:rsidRDefault="009D3039" w:rsidP="009D3039">
      <w:pPr>
        <w:spacing w:after="120" w:line="312" w:lineRule="auto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sz w:val="24"/>
          <w:lang w:val="pl-PL"/>
        </w:rPr>
        <w:t>Po wypełnieniu formularza „Niebieska Karta – A” osobie doznającej przemocy domowej przekazuje się formularz „Niebieska Karta – B”</w:t>
      </w:r>
      <w:r w:rsidRPr="00BE797D" w:rsidDel="00405956">
        <w:rPr>
          <w:rFonts w:ascii="Calibri" w:hAnsi="Calibri" w:cs="Times New Roman"/>
          <w:sz w:val="24"/>
          <w:lang w:val="pl-PL"/>
        </w:rPr>
        <w:t xml:space="preserve"> </w:t>
      </w:r>
      <w:r w:rsidRPr="00BE797D">
        <w:rPr>
          <w:rFonts w:ascii="Calibri" w:hAnsi="Calibri" w:cs="Times New Roman"/>
          <w:sz w:val="24"/>
          <w:lang w:val="pl-PL"/>
        </w:rPr>
        <w:t xml:space="preserve">(§ 6 ust. 1 </w:t>
      </w:r>
      <w:r w:rsidRPr="00BE797D">
        <w:rPr>
          <w:rFonts w:ascii="Calibri" w:hAnsi="Calibri" w:cs="Times New Roman"/>
          <w:i/>
          <w:sz w:val="24"/>
          <w:lang w:val="pl-PL"/>
        </w:rPr>
        <w:t>Rozporządzenia</w:t>
      </w:r>
      <w:r w:rsidRPr="00BE797D">
        <w:rPr>
          <w:rFonts w:ascii="Calibri" w:hAnsi="Calibri" w:cs="Times New Roman"/>
          <w:sz w:val="24"/>
          <w:lang w:val="pl-PL"/>
        </w:rPr>
        <w:t>). Jeżeli osobą doznającą przemocy domowej jest małoletni, formularz „Niebieska Karta – B” przekazuje się rodzicowi, opiekunowi prawnemu lub faktycznemu, a w przypadkach, gdy istnieje podejrzenie, że osobami stosującymi przemoc domową wobec małoletniego są rodzice, opiekunowie prawni lub faktyczni, osobie najbliższej lub pełnoletniej osobie wskazanej przez małoletniego. Formularza „Niebieska Karta – B” nie przekazuje się osobie stosującej przemoc domową.</w:t>
      </w:r>
    </w:p>
    <w:p w:rsidR="009D3039" w:rsidRPr="00BE797D" w:rsidRDefault="009D3039" w:rsidP="009D3039">
      <w:pPr>
        <w:spacing w:after="120" w:line="312" w:lineRule="auto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sz w:val="24"/>
          <w:lang w:val="pl-PL"/>
        </w:rPr>
        <w:t>Wypełniony formularz „Niebieska Karta – A” niezwłocznie, nie później niż w terminie pięciu dni roboczych od dnia wszczęcia procedury, przekazuje się do zespołu interdyscyplinarnego, powołanego przez wójta (burmistrza, prezydenta miasta)</w:t>
      </w:r>
      <w:r w:rsidRPr="00BE797D" w:rsidDel="00405956">
        <w:rPr>
          <w:rFonts w:ascii="Calibri" w:hAnsi="Calibri" w:cs="Times New Roman"/>
          <w:sz w:val="24"/>
          <w:lang w:val="pl-PL"/>
        </w:rPr>
        <w:t xml:space="preserve"> </w:t>
      </w:r>
      <w:r w:rsidRPr="00BE797D">
        <w:rPr>
          <w:rFonts w:ascii="Calibri" w:hAnsi="Calibri" w:cs="Times New Roman"/>
          <w:sz w:val="24"/>
          <w:lang w:val="pl-PL"/>
        </w:rPr>
        <w:t xml:space="preserve">– § 7 ust. 1 </w:t>
      </w:r>
      <w:r w:rsidRPr="00BE797D">
        <w:rPr>
          <w:rFonts w:ascii="Calibri" w:hAnsi="Calibri" w:cs="Times New Roman"/>
          <w:i/>
          <w:sz w:val="24"/>
          <w:lang w:val="pl-PL"/>
        </w:rPr>
        <w:t>Rozporządzenia</w:t>
      </w:r>
      <w:r w:rsidRPr="00BE797D">
        <w:rPr>
          <w:rFonts w:ascii="Calibri" w:hAnsi="Calibri" w:cs="Times New Roman"/>
          <w:sz w:val="24"/>
          <w:lang w:val="pl-PL"/>
        </w:rPr>
        <w:t>. Kopię wypełnionego formularza „Niebieska Karta – A” pozostawia się u wszczynającego procedurę.</w:t>
      </w:r>
    </w:p>
    <w:p w:rsidR="009D3039" w:rsidRPr="00BE797D" w:rsidRDefault="009D3039" w:rsidP="009D3039">
      <w:pPr>
        <w:spacing w:after="120" w:line="312" w:lineRule="auto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sz w:val="24"/>
          <w:lang w:val="pl-PL"/>
        </w:rPr>
        <w:t>Po przekazaniu formularza zespołowi interdyscyplinarnemu dalsze działania podejmowane są już przez ten zespół.</w:t>
      </w:r>
    </w:p>
    <w:p w:rsidR="009D3039" w:rsidRPr="00BE797D" w:rsidRDefault="009D3039" w:rsidP="009D3039">
      <w:pPr>
        <w:spacing w:line="312" w:lineRule="auto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sz w:val="24"/>
          <w:lang w:val="pl-PL"/>
        </w:rPr>
        <w:t>Wszystkie czynności podejmowane przez przedstawiciela placówki w ramach procedury są dokumentowane w formie pisemnej. W przypadku podejrzenia popełnienia przestępstwa oryginały dokumentów są przekazywane organom właściwym do prowadzenia postępowania przygotowawczego.</w:t>
      </w:r>
    </w:p>
    <w:p w:rsidR="009D3039" w:rsidRDefault="009D3039" w:rsidP="009D3039">
      <w:pPr>
        <w:spacing w:before="240" w:after="120" w:line="312" w:lineRule="auto"/>
        <w:jc w:val="both"/>
        <w:rPr>
          <w:rFonts w:ascii="Calibri" w:hAnsi="Calibri" w:cs="Times New Roman"/>
          <w:b/>
          <w:sz w:val="24"/>
          <w:lang w:val="pl-PL"/>
        </w:rPr>
      </w:pPr>
    </w:p>
    <w:p w:rsidR="009D3039" w:rsidRPr="00BE797D" w:rsidRDefault="009D3039" w:rsidP="009D3039">
      <w:pPr>
        <w:spacing w:before="240" w:after="120" w:line="312" w:lineRule="auto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b/>
          <w:sz w:val="24"/>
          <w:lang w:val="pl-PL"/>
        </w:rPr>
        <w:lastRenderedPageBreak/>
        <w:t>Zawiadomienie organów ścigania</w:t>
      </w:r>
    </w:p>
    <w:p w:rsidR="009D3039" w:rsidRPr="00BE797D" w:rsidRDefault="009D3039" w:rsidP="009D3039">
      <w:pPr>
        <w:spacing w:after="120" w:line="312" w:lineRule="auto"/>
        <w:jc w:val="both"/>
        <w:rPr>
          <w:rFonts w:ascii="Calibri" w:hAnsi="Calibri" w:cs="Times New Roman"/>
          <w:sz w:val="24"/>
          <w:lang w:val="pl-PL"/>
        </w:rPr>
      </w:pPr>
      <w:r w:rsidRPr="00BE797D">
        <w:rPr>
          <w:rFonts w:ascii="Calibri" w:hAnsi="Calibri" w:cs="Times New Roman"/>
          <w:sz w:val="24"/>
          <w:lang w:val="pl-PL"/>
        </w:rPr>
        <w:t>Obowiązek taki powstaje z chwilą podjęcia uzasadnionego podejrzenia popełnienia przestępstwa przemocy wobec dziecka. O zdarzeniu należy zawiadomić policję lub sąd rodzinny właściwy według miejsca zamieszkania dziecka.</w:t>
      </w:r>
    </w:p>
    <w:p w:rsidR="009D3039" w:rsidRPr="00BE797D" w:rsidRDefault="009D3039" w:rsidP="009D3039">
      <w:pPr>
        <w:spacing w:line="312" w:lineRule="auto"/>
        <w:jc w:val="both"/>
        <w:rPr>
          <w:rFonts w:ascii="Calibri" w:hAnsi="Calibri" w:cs="Times New Roman"/>
          <w:sz w:val="24"/>
          <w:lang w:val="pl-PL"/>
        </w:rPr>
      </w:pPr>
      <w:bookmarkStart w:id="0" w:name="_GoBack"/>
      <w:bookmarkEnd w:id="0"/>
      <w:r w:rsidRPr="00BE797D">
        <w:rPr>
          <w:rFonts w:ascii="Calibri" w:hAnsi="Calibri" w:cs="Times New Roman"/>
          <w:sz w:val="24"/>
          <w:lang w:val="pl-PL"/>
        </w:rPr>
        <w:t>Placówka, jako</w:t>
      </w:r>
      <w:r w:rsidRPr="00BE797D">
        <w:rPr>
          <w:rFonts w:ascii="Calibri" w:hAnsi="Calibri" w:cs="Times New Roman"/>
          <w:sz w:val="24"/>
          <w:lang w:val="pl-PL"/>
        </w:rPr>
        <w:t xml:space="preserve"> podmiot zawiadamiający o popełnieniu przestępstwa jest informowana przez organy ścigania o wszczęciu i zakończeniu zainicjowanego postępowania.</w:t>
      </w:r>
    </w:p>
    <w:p w:rsidR="00201080" w:rsidRDefault="00201080"/>
    <w:sectPr w:rsidR="0020108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D76" w:rsidRPr="00996D76" w:rsidRDefault="009D3039" w:rsidP="00996D76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996D76">
      <w:rPr>
        <w:rFonts w:ascii="Times New Roman" w:hAnsi="Times New Roman" w:cs="Times New Roman"/>
        <w:sz w:val="20"/>
        <w:szCs w:val="20"/>
      </w:rPr>
      <w:fldChar w:fldCharType="begin"/>
    </w:r>
    <w:r w:rsidRPr="00996D76">
      <w:rPr>
        <w:rFonts w:ascii="Times New Roman" w:hAnsi="Times New Roman" w:cs="Times New Roman"/>
        <w:sz w:val="20"/>
        <w:szCs w:val="20"/>
      </w:rPr>
      <w:instrText>PAGE   \* MERGEFORMAT</w:instrText>
    </w:r>
    <w:r w:rsidRPr="00996D76">
      <w:rPr>
        <w:rFonts w:ascii="Times New Roman" w:hAnsi="Times New Roman" w:cs="Times New Roman"/>
        <w:sz w:val="20"/>
        <w:szCs w:val="20"/>
      </w:rPr>
      <w:fldChar w:fldCharType="separate"/>
    </w:r>
    <w:r w:rsidRPr="009D3039">
      <w:rPr>
        <w:rFonts w:ascii="Times New Roman" w:hAnsi="Times New Roman" w:cs="Times New Roman"/>
        <w:noProof/>
        <w:sz w:val="20"/>
        <w:szCs w:val="20"/>
        <w:lang w:val="pl-PL"/>
      </w:rPr>
      <w:t>5</w:t>
    </w:r>
    <w:r w:rsidRPr="00996D76">
      <w:rPr>
        <w:rFonts w:ascii="Times New Roman" w:hAnsi="Times New Roman" w:cs="Times New Roman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B68D3"/>
    <w:multiLevelType w:val="hybridMultilevel"/>
    <w:tmpl w:val="7A5C7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E462C"/>
    <w:multiLevelType w:val="hybridMultilevel"/>
    <w:tmpl w:val="9D2ADF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87217A"/>
    <w:multiLevelType w:val="hybridMultilevel"/>
    <w:tmpl w:val="D7D6A7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2A524F"/>
    <w:multiLevelType w:val="hybridMultilevel"/>
    <w:tmpl w:val="66EAA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55F76"/>
    <w:multiLevelType w:val="hybridMultilevel"/>
    <w:tmpl w:val="388A8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AFE34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39"/>
    <w:rsid w:val="00201080"/>
    <w:rsid w:val="009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97F74-F29D-4F00-8E1B-EF2AF8D8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039"/>
    <w:pPr>
      <w:suppressAutoHyphens/>
      <w:spacing w:after="0" w:line="240" w:lineRule="auto"/>
    </w:pPr>
    <w:rPr>
      <w:rFonts w:ascii="Helvetica" w:eastAsia="Calibri" w:hAnsi="Helvetica" w:cs="Helvetica"/>
      <w:szCs w:val="24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D30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039"/>
    <w:rPr>
      <w:rFonts w:ascii="Helvetica" w:eastAsia="Calibri" w:hAnsi="Helvetica" w:cs="Helvetica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8353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Sepioło Katarzyna</dc:creator>
  <cp:keywords/>
  <dc:description/>
  <cp:lastModifiedBy>Sepioło Katarzyna</cp:lastModifiedBy>
  <cp:revision>1</cp:revision>
  <dcterms:created xsi:type="dcterms:W3CDTF">2024-11-22T07:41:00Z</dcterms:created>
  <dcterms:modified xsi:type="dcterms:W3CDTF">2024-11-22T07:42:00Z</dcterms:modified>
</cp:coreProperties>
</file>